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29.png" ContentType="image/png"/>
  <Override PartName="/word/media/rId139.png" ContentType="image/png"/>
  <Override PartName="/word/media/rId13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4</w:t>
        </w:r>
      </w:hyperlink>
      <w:r>
        <w:t xml:space="preserve">;</w:t>
      </w:r>
      <w:r>
        <w:t xml:space="preserve">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96.81%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0.25% change in variance for freshwater systems (95% CI: -6.32 to 6.45%,</w:t>
      </w:r>
      <w:r>
        <w:t xml:space="preserve"> </w:t>
      </w:r>
      <m:oMath>
        <m:sSub>
          <m:e>
            <m:r>
              <m:t>p</m:t>
            </m:r>
          </m:e>
          <m:sub>
            <m:r>
              <m:t>M</m:t>
            </m:r>
            <m:r>
              <m:t>C</m:t>
            </m:r>
            <m:r>
              <m:t>M</m:t>
            </m:r>
            <m:r>
              <m:t>C</m:t>
            </m:r>
          </m:sub>
        </m:sSub>
      </m:oMath>
      <w:r>
        <w:t xml:space="preserve"> </w:t>
      </w:r>
      <w:r>
        <w:t xml:space="preserve">= 0.89), whereas we expect a 2.88% reduction in variance for marine systems (95% CI: -6.36 to 1.22%,</w:t>
      </w:r>
      <w:r>
        <w:t xml:space="preserve"> </w:t>
      </w:r>
      <m:oMath>
        <m:sSub>
          <m:e>
            <m:r>
              <m:t>p</m:t>
            </m:r>
          </m:e>
          <m:sub>
            <m:r>
              <m:t>M</m:t>
            </m:r>
            <m:r>
              <m:t>C</m:t>
            </m:r>
            <m:r>
              <m:t>M</m:t>
            </m:r>
            <m:r>
              <m:t>C</m:t>
            </m:r>
          </m:sub>
        </m:sSub>
      </m:oMath>
      <w:r>
        <w:t xml:space="preserve"> </w:t>
      </w:r>
      <w:r>
        <w:t xml:space="preserve">= 0.37) and a 12.17% reduction in variance for terrestrial systems (95% CI: -19.34 to -6.18%,</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7" w:name="discussion"/>
    <w:p>
      <w:pPr>
        <w:pStyle w:val="Heading2"/>
      </w:pPr>
      <w:r>
        <w:rPr>
          <w:bCs/>
          <w:b/>
        </w:rPr>
        <w:t xml:space="preserve">Discussion</w:t>
      </w:r>
    </w:p>
    <w:p>
      <w:pPr>
        <w:pStyle w:val="FirstParagraph"/>
      </w:pPr>
      <w:r>
        <w:t xml:space="preserve">Understanding acclimation capacity and how the opportunity for selection will change across populations and species is important for predicting the impacts of climate change</w:t>
      </w:r>
      <w:r>
        <w:t xml:space="preserve"> </w:t>
      </w:r>
      <w:r>
        <w:t xml:space="preserve">(Chevin</w:t>
      </w:r>
      <w:r>
        <w:t xml:space="preserve"> </w:t>
      </w:r>
      <w:r>
        <w:rPr>
          <w:iCs/>
          <w:i/>
        </w:rPr>
        <w:t xml:space="preserve">et al.</w:t>
      </w:r>
      <w:r>
        <w:t xml:space="preserve"> </w:t>
      </w:r>
      <w:r>
        <w:t xml:space="preserve">2010; Chevin &amp; Hoffmann 2017)</w:t>
      </w:r>
      <w:r>
        <w:t xml:space="preserve">. Here, we show that the opportunity for selection is expected to decrease for wild ectotherms, but particularly so for terrestrial ectotherms (~28%). Decreases in variance in physiological rates is larger than the expected benefits from acclimation in marine and terrestrial ectotherms (marine: 9% acclimation vs. 15% reduction in variance; terrestrial: no acclimation vs 28% reduction in variance). Such effects are expected to result in a decrease in the opportunity for selection for marine and terrestrial ectotherms (between 4-13% reduction in total variance) under climate change assuming a fraction of this variation is heritable and/or it weakens selection.</w:t>
      </w:r>
    </w:p>
    <w:bookmarkStart w:id="73" w:name="X1b0c373e20d49913d03c7e934512b986ba3c7be"/>
    <w:p>
      <w:pPr>
        <w:pStyle w:val="Heading3"/>
      </w:pPr>
      <w:r>
        <w:rPr>
          <w:bCs/>
          <w:b/>
        </w:rPr>
        <w:t xml:space="preserve">Acclimation capacity is limited in ectotherms</w:t>
      </w:r>
    </w:p>
    <w:bookmarkEnd w:id="73"/>
    <w:bookmarkStart w:id="74" w:name="X5501e781cf3248c8f3dbfce468905afd8050bc6"/>
    <w:p>
      <w:pPr>
        <w:pStyle w:val="Heading3"/>
      </w:pPr>
      <w:r>
        <w:rPr>
          <w:bCs/>
          <w:b/>
        </w:rPr>
        <w:t xml:space="preserve">Acute and acclimation responses of wild ectotherms are lower in warmer environments</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4"/>
    <w:bookmarkStart w:id="75" w:name="X8a73f35bbf30664905ee81de6774b7e0b74408a"/>
    <w:p>
      <w:pPr>
        <w:pStyle w:val="Heading3"/>
      </w:pPr>
      <w:r>
        <w:rPr>
          <w:bCs/>
          <w:b/>
        </w:rPr>
        <w:t xml:space="preserve">The opportunity for selection is expected to decrease for wild ectotherms under climate change</w:t>
      </w:r>
    </w:p>
    <w:bookmarkEnd w:id="75"/>
    <w:bookmarkStart w:id="76" w:name="limitations-and-future-directions"/>
    <w:p>
      <w:pPr>
        <w:pStyle w:val="Heading3"/>
      </w:pPr>
      <w:r>
        <w:rPr>
          <w:bCs/>
          <w:b/>
        </w:rPr>
        <w:t xml:space="preserve">Limitations and future directions</w:t>
      </w:r>
    </w:p>
    <w:bookmarkEnd w:id="76"/>
    <w:bookmarkEnd w:id="77"/>
    <w:bookmarkStart w:id="128" w:name="references"/>
    <w:p>
      <w:pPr>
        <w:pStyle w:val="Heading2"/>
      </w:pPr>
      <w:r>
        <w:t xml:space="preserve">References</w:t>
      </w:r>
    </w:p>
    <w:p>
      <w:pPr>
        <w:pStyle w:val="FirstParagraph"/>
      </w:pPr>
    </w:p>
    <w:bookmarkStart w:id="127" w:name="refs"/>
    <w:bookmarkStart w:id="78"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8"/>
    <w:bookmarkStart w:id="79"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9"/>
    <w:bookmarkStart w:id="80"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0"/>
    <w:bookmarkStart w:id="81"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1"/>
    <w:bookmarkStart w:id="82"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2"/>
    <w:bookmarkStart w:id="83"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83"/>
    <w:bookmarkStart w:id="84"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4"/>
    <w:bookmarkStart w:id="85"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85"/>
    <w:bookmarkStart w:id="86"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6"/>
    <w:bookmarkStart w:id="8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7"/>
    <w:bookmarkStart w:id="8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8"/>
    <w:bookmarkStart w:id="8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9"/>
    <w:bookmarkStart w:id="9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90"/>
    <w:bookmarkStart w:id="9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1"/>
    <w:bookmarkStart w:id="9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92"/>
    <w:bookmarkStart w:id="9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93"/>
    <w:bookmarkStart w:id="94"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94"/>
    <w:bookmarkStart w:id="95"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95"/>
    <w:bookmarkStart w:id="96"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96"/>
    <w:bookmarkStart w:id="9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7"/>
    <w:bookmarkStart w:id="9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8"/>
    <w:bookmarkStart w:id="9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9"/>
    <w:bookmarkStart w:id="10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00"/>
    <w:bookmarkStart w:id="10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01"/>
    <w:bookmarkStart w:id="10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02"/>
    <w:bookmarkStart w:id="10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03"/>
    <w:bookmarkStart w:id="104"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04"/>
    <w:bookmarkStart w:id="105"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05"/>
    <w:bookmarkStart w:id="106"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06"/>
    <w:bookmarkStart w:id="107"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7"/>
    <w:bookmarkStart w:id="108"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8"/>
    <w:bookmarkStart w:id="109"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9"/>
    <w:bookmarkStart w:id="110"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10"/>
    <w:bookmarkStart w:id="111"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11"/>
    <w:bookmarkStart w:id="112"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12"/>
    <w:bookmarkStart w:id="11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13"/>
    <w:bookmarkStart w:id="114"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14"/>
    <w:bookmarkStart w:id="115"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15"/>
    <w:bookmarkStart w:id="11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16"/>
    <w:bookmarkStart w:id="117"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17"/>
    <w:bookmarkStart w:id="11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18"/>
    <w:bookmarkStart w:id="11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9"/>
    <w:bookmarkStart w:id="120"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20"/>
    <w:bookmarkStart w:id="121"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21"/>
    <w:bookmarkStart w:id="122"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22"/>
    <w:bookmarkStart w:id="12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23"/>
    <w:bookmarkStart w:id="124"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24"/>
    <w:bookmarkStart w:id="125"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25"/>
    <w:bookmarkStart w:id="126"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26"/>
    <w:bookmarkEnd w:id="127"/>
    <w:p>
      <w:pPr>
        <w:pStyle w:val="BodyText"/>
      </w:pPr>
    </w:p>
    <w:bookmarkEnd w:id="128"/>
    <w:bookmarkStart w:id="144" w:name="supplemental-results-and-figures"/>
    <w:p>
      <w:pPr>
        <w:pStyle w:val="Heading2"/>
      </w:pPr>
      <w:r>
        <w:t xml:space="preserve">Supplemental Results and Figures</w:t>
      </w:r>
    </w:p>
    <w:bookmarkStart w:id="13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32" w:name="fig-s1"/>
          <w:p>
            <w:pPr>
              <w:pStyle w:val="Figure"/>
              <w:jc w:val="center"/>
            </w:pPr>
            <w:r>
              <w:drawing>
                <wp:inline>
                  <wp:extent cx="6680200" cy="4647095"/>
                  <wp:effectExtent b="0" l="0" r="0" t="0"/>
                  <wp:docPr descr="" title="" id="130" name="Picture"/>
                  <a:graphic>
                    <a:graphicData uri="http://schemas.openxmlformats.org/drawingml/2006/picture">
                      <pic:pic>
                        <pic:nvPicPr>
                          <pic:cNvPr descr="ms_files/figure-docx/fig-s1-1.png" id="131" name="Picture"/>
                          <pic:cNvPicPr>
                            <a:picLocks noChangeArrowheads="1" noChangeAspect="1"/>
                          </pic:cNvPicPr>
                        </pic:nvPicPr>
                        <pic:blipFill>
                          <a:blip r:embed="rId12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32"/>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33"/>
    <w:bookmarkStart w:id="13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37" w:name="fig-s3"/>
          <w:p>
            <w:pPr>
              <w:pStyle w:val="Figure"/>
              <w:jc w:val="center"/>
            </w:pPr>
            <w:r>
              <w:drawing>
                <wp:inline>
                  <wp:extent cx="6680200" cy="2379821"/>
                  <wp:effectExtent b="0" l="0" r="0" t="0"/>
                  <wp:docPr descr="" title="" id="135" name="Picture"/>
                  <a:graphic>
                    <a:graphicData uri="http://schemas.openxmlformats.org/drawingml/2006/picture">
                      <pic:pic>
                        <pic:nvPicPr>
                          <pic:cNvPr descr="ms_files/figure-docx/fig-s3-1.png" id="136" name="Picture"/>
                          <pic:cNvPicPr>
                            <a:picLocks noChangeArrowheads="1" noChangeAspect="1"/>
                          </pic:cNvPicPr>
                        </pic:nvPicPr>
                        <pic:blipFill>
                          <a:blip r:embed="rId13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37"/>
        </w:tc>
      </w:tr>
    </w:tbl>
    <w:bookmarkEnd w:id="138"/>
    <w:bookmarkStart w:id="14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42" w:name="fig-s2"/>
          <w:p>
            <w:pPr>
              <w:pStyle w:val="Figure"/>
              <w:jc w:val="center"/>
            </w:pPr>
            <w:r>
              <w:drawing>
                <wp:inline>
                  <wp:extent cx="6680200" cy="2788257"/>
                  <wp:effectExtent b="0" l="0" r="0" t="0"/>
                  <wp:docPr descr="" title="" id="140" name="Picture"/>
                  <a:graphic>
                    <a:graphicData uri="http://schemas.openxmlformats.org/drawingml/2006/picture">
                      <pic:pic>
                        <pic:nvPicPr>
                          <pic:cNvPr descr="ms_files/figure-docx/fig-s2-1.png" id="141" name="Picture"/>
                          <pic:cNvPicPr>
                            <a:picLocks noChangeArrowheads="1" noChangeAspect="1"/>
                          </pic:cNvPicPr>
                        </pic:nvPicPr>
                        <pic:blipFill>
                          <a:blip r:embed="rId13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42"/>
        </w:tc>
      </w:tr>
    </w:tbl>
    <w:bookmarkEnd w:id="143"/>
    <w:bookmarkEnd w:id="144"/>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29" Target="media/rId129.png" /><Relationship Type="http://schemas.openxmlformats.org/officeDocument/2006/relationships/image" Id="rId139" Target="media/rId139.png" /><Relationship Type="http://schemas.openxmlformats.org/officeDocument/2006/relationships/image" Id="rId134" Target="media/rId13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2023-12-11T05:51:26Z</dcterms:created>
  <dcterms:modified xsi:type="dcterms:W3CDTF">2023-12-11T05:51:26Z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